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08B70" w14:textId="77777777" w:rsidR="00155386" w:rsidRDefault="00155386" w:rsidP="00155386">
      <w:pPr>
        <w:spacing w:line="480" w:lineRule="auto"/>
        <w:jc w:val="center"/>
        <w:rPr>
          <w:rFonts w:ascii="Times New Roman" w:hAnsi="Times New Roman" w:cs="Times New Roman"/>
          <w:bCs/>
          <w:sz w:val="24"/>
          <w:szCs w:val="24"/>
          <w:lang w:val="en-US"/>
        </w:rPr>
      </w:pPr>
    </w:p>
    <w:p w14:paraId="7F87A724" w14:textId="77777777" w:rsidR="00155386" w:rsidRDefault="00155386" w:rsidP="00155386">
      <w:pPr>
        <w:spacing w:line="480" w:lineRule="auto"/>
        <w:jc w:val="center"/>
        <w:rPr>
          <w:rFonts w:ascii="Times New Roman" w:hAnsi="Times New Roman" w:cs="Times New Roman"/>
          <w:bCs/>
          <w:sz w:val="24"/>
          <w:szCs w:val="24"/>
          <w:lang w:val="en-US"/>
        </w:rPr>
      </w:pPr>
    </w:p>
    <w:p w14:paraId="0CA58B13" w14:textId="77777777" w:rsidR="00155386" w:rsidRDefault="00155386" w:rsidP="00155386">
      <w:pPr>
        <w:spacing w:line="480" w:lineRule="auto"/>
        <w:jc w:val="center"/>
        <w:rPr>
          <w:rFonts w:ascii="Times New Roman" w:hAnsi="Times New Roman" w:cs="Times New Roman"/>
          <w:bCs/>
          <w:sz w:val="24"/>
          <w:szCs w:val="24"/>
          <w:lang w:val="en-US"/>
        </w:rPr>
      </w:pPr>
    </w:p>
    <w:p w14:paraId="1C94D236" w14:textId="77777777" w:rsidR="00155386" w:rsidRDefault="00155386" w:rsidP="00155386">
      <w:pPr>
        <w:spacing w:line="480" w:lineRule="auto"/>
        <w:jc w:val="center"/>
        <w:rPr>
          <w:rFonts w:ascii="Times New Roman" w:hAnsi="Times New Roman" w:cs="Times New Roman"/>
          <w:bCs/>
          <w:sz w:val="24"/>
          <w:szCs w:val="24"/>
          <w:lang w:val="en-US"/>
        </w:rPr>
      </w:pPr>
    </w:p>
    <w:p w14:paraId="05B16ABF" w14:textId="77777777" w:rsidR="00155386" w:rsidRDefault="00155386" w:rsidP="00155386">
      <w:pPr>
        <w:spacing w:line="480" w:lineRule="auto"/>
        <w:jc w:val="center"/>
        <w:rPr>
          <w:rFonts w:ascii="Times New Roman" w:hAnsi="Times New Roman" w:cs="Times New Roman"/>
          <w:bCs/>
          <w:sz w:val="24"/>
          <w:szCs w:val="24"/>
          <w:lang w:val="en-US"/>
        </w:rPr>
      </w:pPr>
    </w:p>
    <w:p w14:paraId="3635E962" w14:textId="14511578" w:rsidR="00155064" w:rsidRDefault="00155064" w:rsidP="00155386">
      <w:pPr>
        <w:spacing w:line="480" w:lineRule="auto"/>
        <w:jc w:val="center"/>
        <w:rPr>
          <w:rFonts w:ascii="Times New Roman" w:hAnsi="Times New Roman" w:cs="Times New Roman"/>
          <w:bCs/>
          <w:sz w:val="24"/>
          <w:szCs w:val="24"/>
          <w:shd w:val="clear" w:color="auto" w:fill="FFFFFF"/>
          <w:lang w:val="en-US"/>
        </w:rPr>
      </w:pPr>
      <w:r w:rsidRPr="00155064">
        <w:rPr>
          <w:rFonts w:ascii="Times New Roman" w:hAnsi="Times New Roman" w:cs="Times New Roman"/>
          <w:bCs/>
          <w:sz w:val="24"/>
          <w:szCs w:val="24"/>
          <w:lang w:val="en-US"/>
        </w:rPr>
        <w:t>Session 5</w:t>
      </w:r>
      <w:r w:rsidRPr="00155064">
        <w:rPr>
          <w:rFonts w:ascii="Times New Roman" w:hAnsi="Times New Roman" w:cs="Times New Roman"/>
          <w:bCs/>
          <w:sz w:val="24"/>
          <w:szCs w:val="24"/>
          <w:lang w:val="en-US"/>
        </w:rPr>
        <w:t xml:space="preserve"> Discussion:</w:t>
      </w:r>
      <w:r w:rsidRPr="00155064">
        <w:rPr>
          <w:rFonts w:ascii="Times New Roman" w:hAnsi="Times New Roman" w:cs="Times New Roman"/>
          <w:bCs/>
          <w:sz w:val="24"/>
          <w:szCs w:val="24"/>
          <w:shd w:val="clear" w:color="auto" w:fill="FFFFFF"/>
          <w:lang w:val="en-US"/>
        </w:rPr>
        <w:t xml:space="preserve"> </w:t>
      </w:r>
      <w:r>
        <w:rPr>
          <w:rFonts w:ascii="Times New Roman" w:hAnsi="Times New Roman" w:cs="Times New Roman"/>
          <w:bCs/>
          <w:sz w:val="24"/>
          <w:szCs w:val="24"/>
          <w:shd w:val="clear" w:color="auto" w:fill="FFFFFF"/>
          <w:lang w:val="en-US"/>
        </w:rPr>
        <w:t>Different Types of Returns and Diversification of Risk</w:t>
      </w:r>
    </w:p>
    <w:p w14:paraId="044374C5" w14:textId="0BA40979" w:rsidR="00155064" w:rsidRDefault="00155064" w:rsidP="00155386">
      <w:pPr>
        <w:spacing w:line="480" w:lineRule="auto"/>
        <w:jc w:val="center"/>
        <w:rPr>
          <w:rFonts w:ascii="Times New Roman" w:hAnsi="Times New Roman" w:cs="Times New Roman"/>
          <w:bCs/>
          <w:sz w:val="24"/>
          <w:szCs w:val="24"/>
          <w:shd w:val="clear" w:color="auto" w:fill="FFFFFF"/>
          <w:lang w:val="en-US"/>
        </w:rPr>
      </w:pPr>
      <w:r>
        <w:rPr>
          <w:rFonts w:ascii="Times New Roman" w:hAnsi="Times New Roman" w:cs="Times New Roman"/>
          <w:bCs/>
          <w:sz w:val="24"/>
          <w:szCs w:val="24"/>
          <w:shd w:val="clear" w:color="auto" w:fill="FFFFFF"/>
          <w:lang w:val="en-US"/>
        </w:rPr>
        <w:t>Student’s Name</w:t>
      </w:r>
    </w:p>
    <w:p w14:paraId="2F0C2A2B" w14:textId="0CBC3710" w:rsidR="00155064" w:rsidRDefault="00155064" w:rsidP="00155386">
      <w:pPr>
        <w:spacing w:line="480" w:lineRule="auto"/>
        <w:jc w:val="center"/>
        <w:rPr>
          <w:rFonts w:ascii="Times New Roman" w:hAnsi="Times New Roman" w:cs="Times New Roman"/>
          <w:bCs/>
          <w:sz w:val="24"/>
          <w:szCs w:val="24"/>
          <w:shd w:val="clear" w:color="auto" w:fill="FFFFFF"/>
          <w:lang w:val="en-US"/>
        </w:rPr>
      </w:pPr>
      <w:r>
        <w:rPr>
          <w:rFonts w:ascii="Times New Roman" w:hAnsi="Times New Roman" w:cs="Times New Roman"/>
          <w:bCs/>
          <w:sz w:val="24"/>
          <w:szCs w:val="24"/>
          <w:shd w:val="clear" w:color="auto" w:fill="FFFFFF"/>
          <w:lang w:val="en-US"/>
        </w:rPr>
        <w:t>Institutional Affiliations</w:t>
      </w:r>
    </w:p>
    <w:p w14:paraId="6DCDB2FC" w14:textId="77777777" w:rsidR="00155386" w:rsidRDefault="00155386" w:rsidP="00155386">
      <w:pPr>
        <w:spacing w:line="480" w:lineRule="auto"/>
        <w:jc w:val="center"/>
        <w:rPr>
          <w:rFonts w:ascii="Times New Roman" w:hAnsi="Times New Roman" w:cs="Times New Roman"/>
          <w:bCs/>
          <w:sz w:val="24"/>
          <w:szCs w:val="24"/>
          <w:shd w:val="clear" w:color="auto" w:fill="FFFFFF"/>
          <w:lang w:val="en-US"/>
        </w:rPr>
      </w:pPr>
      <w:r>
        <w:rPr>
          <w:rFonts w:ascii="Times New Roman" w:hAnsi="Times New Roman" w:cs="Times New Roman"/>
          <w:bCs/>
          <w:sz w:val="24"/>
          <w:szCs w:val="24"/>
          <w:shd w:val="clear" w:color="auto" w:fill="FFFFFF"/>
          <w:lang w:val="en-US"/>
        </w:rPr>
        <w:br w:type="page"/>
      </w:r>
    </w:p>
    <w:p w14:paraId="7EDDF233" w14:textId="7671260D" w:rsidR="00155064" w:rsidRDefault="00155064" w:rsidP="00155386">
      <w:pPr>
        <w:spacing w:line="480" w:lineRule="auto"/>
        <w:jc w:val="center"/>
        <w:rPr>
          <w:rFonts w:ascii="Times New Roman" w:hAnsi="Times New Roman" w:cs="Times New Roman"/>
          <w:bCs/>
          <w:sz w:val="24"/>
          <w:szCs w:val="24"/>
          <w:shd w:val="clear" w:color="auto" w:fill="FFFFFF"/>
          <w:lang w:val="en-US"/>
        </w:rPr>
      </w:pPr>
      <w:r w:rsidRPr="00155064">
        <w:rPr>
          <w:rFonts w:ascii="Times New Roman" w:hAnsi="Times New Roman" w:cs="Times New Roman"/>
          <w:bCs/>
          <w:sz w:val="24"/>
          <w:szCs w:val="24"/>
          <w:shd w:val="clear" w:color="auto" w:fill="FFFFFF"/>
          <w:lang w:val="en-US"/>
        </w:rPr>
        <w:lastRenderedPageBreak/>
        <w:t>Session 5 Discussion: Different Types of Returns and Diversification of Risk</w:t>
      </w:r>
    </w:p>
    <w:p w14:paraId="1C04F1AA" w14:textId="77777777" w:rsidR="00155064" w:rsidRDefault="00155064" w:rsidP="00155386">
      <w:pPr>
        <w:spacing w:line="480" w:lineRule="auto"/>
        <w:rPr>
          <w:rFonts w:ascii="Times New Roman" w:hAnsi="Times New Roman" w:cs="Times New Roman"/>
          <w:b/>
          <w:sz w:val="24"/>
          <w:szCs w:val="24"/>
          <w:lang w:val="en-US"/>
        </w:rPr>
      </w:pPr>
      <w:r w:rsidRPr="00155064">
        <w:rPr>
          <w:rFonts w:ascii="Times New Roman" w:hAnsi="Times New Roman" w:cs="Times New Roman"/>
          <w:b/>
          <w:sz w:val="24"/>
          <w:szCs w:val="24"/>
          <w:shd w:val="clear" w:color="auto" w:fill="FFFFFF"/>
          <w:lang w:val="en-US"/>
        </w:rPr>
        <w:t xml:space="preserve">Question 1: </w:t>
      </w:r>
      <w:r w:rsidRPr="00155064">
        <w:rPr>
          <w:rFonts w:ascii="Times New Roman" w:hAnsi="Times New Roman" w:cs="Times New Roman"/>
          <w:b/>
          <w:sz w:val="24"/>
          <w:szCs w:val="24"/>
          <w:lang w:val="en-US"/>
        </w:rPr>
        <w:t xml:space="preserve">Difference </w:t>
      </w:r>
      <w:r w:rsidRPr="00155064">
        <w:rPr>
          <w:rFonts w:ascii="Times New Roman" w:hAnsi="Times New Roman" w:cs="Times New Roman"/>
          <w:b/>
          <w:sz w:val="24"/>
          <w:szCs w:val="24"/>
          <w:lang w:val="en-US"/>
        </w:rPr>
        <w:t>B</w:t>
      </w:r>
      <w:r w:rsidRPr="00155064">
        <w:rPr>
          <w:rFonts w:ascii="Times New Roman" w:hAnsi="Times New Roman" w:cs="Times New Roman"/>
          <w:b/>
          <w:sz w:val="24"/>
          <w:szCs w:val="24"/>
          <w:lang w:val="en-US"/>
        </w:rPr>
        <w:t>etween Required Rate of Return and Expected Rate of Return</w:t>
      </w:r>
    </w:p>
    <w:p w14:paraId="49580F3F" w14:textId="23E98003" w:rsidR="00853DDA" w:rsidRDefault="00155064" w:rsidP="00155386">
      <w:pPr>
        <w:spacing w:line="480" w:lineRule="auto"/>
        <w:ind w:firstLine="720"/>
        <w:rPr>
          <w:rFonts w:ascii="Times New Roman" w:hAnsi="Times New Roman" w:cs="Times New Roman"/>
          <w:sz w:val="24"/>
          <w:szCs w:val="24"/>
          <w:lang w:val="en-US"/>
        </w:rPr>
      </w:pPr>
      <w:r w:rsidRPr="00155064">
        <w:rPr>
          <w:rFonts w:ascii="Times New Roman" w:hAnsi="Times New Roman" w:cs="Times New Roman"/>
          <w:sz w:val="24"/>
          <w:szCs w:val="24"/>
          <w:lang w:val="en-US"/>
        </w:rPr>
        <w:t>The Required Rate of Return refers to the absolute minimum returns on investment one would accept for that investment to be considered worthwhile (Levinson, 2019). Conversely, the Expected Rate of Return is the return on investment one expects to collect when investing in a stock (Levinson, 2019). The expected rate of return depends on the probabilities of different outcomes, and if each probable outcome is multiplied by the probability of its occurrence and the values added up, one ends up with a weighted average of outcomes. Essentially, the required rate of return is the minimum possible rate that would entice you to invest, but the expected rate of return is what one actually plans to make from that particular investment (Levinson, 2019). As such, the required return of investment helps one decide whether the investment is beneficial, and its calculation should take into account several factors, such as the volatility of the stock in question, how much you could earn from a risk-free investment, and the return of the market as a whole (Levinson, 2019). However, using the information on the stock</w:t>
      </w:r>
      <w:r w:rsidR="00BB03C2">
        <w:rPr>
          <w:rFonts w:ascii="Times New Roman" w:hAnsi="Times New Roman" w:cs="Times New Roman"/>
          <w:sz w:val="24"/>
          <w:szCs w:val="24"/>
          <w:lang w:val="en-US"/>
        </w:rPr>
        <w:t>’</w:t>
      </w:r>
      <w:r w:rsidRPr="00155064">
        <w:rPr>
          <w:rFonts w:ascii="Times New Roman" w:hAnsi="Times New Roman" w:cs="Times New Roman"/>
          <w:sz w:val="24"/>
          <w:szCs w:val="24"/>
          <w:lang w:val="en-US"/>
        </w:rPr>
        <w:t>s history, its volatility, and its overall market returns, you can reasonably estimate the expected rate of return over a period of time (Levinson, 2019). A difference in the required rate of return and the expected rate of return at a specific point has several implications. If the expected rate of return is less than the required rate of return, the investment is not worthwhile. However, a good investment is characterized by the expected rate of return meeting or exceeding the required rate of return (Corporate Finance Institute, 2021).</w:t>
      </w:r>
    </w:p>
    <w:p w14:paraId="497C931F" w14:textId="4CB4A62E" w:rsidR="009F6F7A" w:rsidRPr="00853DDA" w:rsidRDefault="009F6F7A" w:rsidP="00155386">
      <w:pPr>
        <w:spacing w:line="480" w:lineRule="auto"/>
        <w:rPr>
          <w:rFonts w:ascii="Times New Roman" w:hAnsi="Times New Roman" w:cs="Times New Roman"/>
          <w:sz w:val="24"/>
          <w:szCs w:val="24"/>
          <w:lang w:val="en-US"/>
        </w:rPr>
      </w:pPr>
      <w:r w:rsidRPr="009F6F7A">
        <w:rPr>
          <w:rFonts w:ascii="Times New Roman" w:hAnsi="Times New Roman" w:cs="Times New Roman"/>
          <w:b/>
          <w:bCs/>
          <w:sz w:val="24"/>
          <w:szCs w:val="24"/>
          <w:lang w:val="en-US"/>
        </w:rPr>
        <w:t xml:space="preserve">Question 2: </w:t>
      </w:r>
      <w:r w:rsidR="00155064" w:rsidRPr="00155064">
        <w:rPr>
          <w:rFonts w:ascii="Times New Roman" w:hAnsi="Times New Roman" w:cs="Times New Roman"/>
          <w:b/>
          <w:bCs/>
          <w:sz w:val="24"/>
          <w:szCs w:val="24"/>
          <w:lang w:val="en-US"/>
        </w:rPr>
        <w:t xml:space="preserve">Difference </w:t>
      </w:r>
      <w:r>
        <w:rPr>
          <w:rFonts w:ascii="Times New Roman" w:hAnsi="Times New Roman" w:cs="Times New Roman"/>
          <w:b/>
          <w:bCs/>
          <w:sz w:val="24"/>
          <w:szCs w:val="24"/>
          <w:lang w:val="en-US"/>
        </w:rPr>
        <w:t>B</w:t>
      </w:r>
      <w:r w:rsidR="00155064" w:rsidRPr="00155064">
        <w:rPr>
          <w:rFonts w:ascii="Times New Roman" w:hAnsi="Times New Roman" w:cs="Times New Roman"/>
          <w:b/>
          <w:bCs/>
          <w:sz w:val="24"/>
          <w:szCs w:val="24"/>
          <w:lang w:val="en-US"/>
        </w:rPr>
        <w:t>etween an Expected Return and a Total Holding Period Return</w:t>
      </w:r>
    </w:p>
    <w:p w14:paraId="64435A1F" w14:textId="77777777" w:rsidR="009F6F7A" w:rsidRDefault="00155064" w:rsidP="00155386">
      <w:pPr>
        <w:spacing w:line="480" w:lineRule="auto"/>
        <w:ind w:firstLine="720"/>
        <w:rPr>
          <w:rFonts w:ascii="Times New Roman" w:hAnsi="Times New Roman" w:cs="Times New Roman"/>
          <w:sz w:val="24"/>
          <w:szCs w:val="24"/>
          <w:lang w:val="en-US"/>
        </w:rPr>
      </w:pPr>
      <w:r w:rsidRPr="00155064">
        <w:rPr>
          <w:rFonts w:ascii="Times New Roman" w:hAnsi="Times New Roman" w:cs="Times New Roman"/>
          <w:sz w:val="24"/>
          <w:szCs w:val="24"/>
          <w:lang w:val="en-US"/>
        </w:rPr>
        <w:t xml:space="preserve">Although both the expected return and the total holding period return can be expressed as percentages, the expected return is the amount of profit or loss an investor can </w:t>
      </w:r>
      <w:r w:rsidRPr="00155064">
        <w:rPr>
          <w:rFonts w:ascii="Times New Roman" w:hAnsi="Times New Roman" w:cs="Times New Roman"/>
          <w:sz w:val="24"/>
          <w:szCs w:val="24"/>
          <w:lang w:val="en-US"/>
        </w:rPr>
        <w:lastRenderedPageBreak/>
        <w:t>anticipate receiving on an investment (Chen, 2020a), while the Total Holding Period Return refers to the total return received from owning and keeping an asset or portfolio of assets over a certain amount of time (Chen, 2020a). As such, the total holding period return is calculated based on the total returns from the asset or portfolio, that is the income added to the value changes (capital appreciation) (Chen, 2020b). Conversely, the expected return is calculated based on probabilities of the weighted average of the returns that a certain investment may provide in the future. Therefore, the holding period return can help a company compare the returns between investments held for different periods of time, thus assessing its past performance (Chen, 2020a). On the other hand, the investment for which the expected return is calculated will be carried out in the future.</w:t>
      </w:r>
    </w:p>
    <w:p w14:paraId="6BBDFC2A" w14:textId="3915EA32" w:rsidR="00155064" w:rsidRPr="00155064" w:rsidRDefault="00155064" w:rsidP="00155386">
      <w:pPr>
        <w:spacing w:line="480" w:lineRule="auto"/>
        <w:ind w:firstLine="720"/>
        <w:rPr>
          <w:rFonts w:ascii="Times New Roman" w:hAnsi="Times New Roman" w:cs="Times New Roman"/>
          <w:sz w:val="24"/>
          <w:szCs w:val="24"/>
          <w:lang w:val="en-US"/>
        </w:rPr>
      </w:pPr>
      <w:r w:rsidRPr="00155064">
        <w:rPr>
          <w:rFonts w:ascii="Times New Roman" w:hAnsi="Times New Roman" w:cs="Times New Roman"/>
          <w:sz w:val="24"/>
          <w:szCs w:val="24"/>
          <w:lang w:val="en-US"/>
        </w:rPr>
        <w:t>The total holding period return affects the taxes starting on the day after the acquisition of a security until the day of its disposal or sale (Chen, 2020b). For example, if someone acquires some shares of stock on 3rd February 2020, when determining the holding period, he begins counting on 4th February 2020, and the fourth day of every month counts as the start of a new month, regardless of how many days each month contains. The total holding period is calculated by</w:t>
      </w:r>
      <w:r w:rsidR="009F6F7A">
        <w:rPr>
          <w:rFonts w:ascii="Times New Roman" w:hAnsi="Times New Roman" w:cs="Times New Roman"/>
          <w:sz w:val="24"/>
          <w:szCs w:val="24"/>
          <w:lang w:val="en-US"/>
        </w:rPr>
        <w:t xml:space="preserve"> as follows:</w:t>
      </w:r>
      <w:r w:rsidRPr="00155064">
        <w:rPr>
          <w:rFonts w:ascii="Times New Roman" w:hAnsi="Times New Roman" w:cs="Times New Roman"/>
          <w:sz w:val="24"/>
          <w:szCs w:val="24"/>
          <w:lang w:val="en-US"/>
        </w:rPr>
        <w:t xml:space="preserve"> </w:t>
      </w:r>
    </w:p>
    <w:p w14:paraId="727FB717" w14:textId="70290B0A" w:rsidR="00155064" w:rsidRPr="00155064" w:rsidRDefault="00155064" w:rsidP="00155386">
      <w:pPr>
        <w:spacing w:line="480" w:lineRule="auto"/>
        <w:rPr>
          <w:rFonts w:ascii="Times New Roman" w:hAnsi="Times New Roman" w:cs="Times New Roman"/>
          <w:sz w:val="24"/>
          <w:szCs w:val="24"/>
          <w:lang w:val="en-US"/>
        </w:rPr>
      </w:pPr>
      <w:r w:rsidRPr="00155064">
        <w:rPr>
          <w:rFonts w:ascii="Times New Roman" w:hAnsi="Times New Roman" w:cs="Times New Roman"/>
          <w:sz w:val="24"/>
          <w:szCs w:val="24"/>
          <w:lang w:val="en-US"/>
        </w:rPr>
        <w:t>​Holding Period Return=Initial ValueIncome +(End </w:t>
      </w:r>
      <w:r w:rsidR="00BB03C2" w:rsidRPr="00155064">
        <w:rPr>
          <w:rFonts w:ascii="Times New Roman" w:hAnsi="Times New Roman" w:cs="Times New Roman"/>
          <w:sz w:val="24"/>
          <w:szCs w:val="24"/>
          <w:lang w:val="en-US"/>
        </w:rPr>
        <w:t>of</w:t>
      </w:r>
      <w:r w:rsidRPr="00155064">
        <w:rPr>
          <w:rFonts w:ascii="Times New Roman" w:hAnsi="Times New Roman" w:cs="Times New Roman"/>
          <w:sz w:val="24"/>
          <w:szCs w:val="24"/>
          <w:lang w:val="en-US"/>
        </w:rPr>
        <w:t> Period Value − Initial Value)​​ (Chen, 2020b).</w:t>
      </w:r>
    </w:p>
    <w:p w14:paraId="289FD37C" w14:textId="24A06AC7" w:rsidR="00155064" w:rsidRPr="00155064" w:rsidRDefault="00155064" w:rsidP="00155386">
      <w:pPr>
        <w:spacing w:line="480" w:lineRule="auto"/>
        <w:rPr>
          <w:rFonts w:ascii="Times New Roman" w:hAnsi="Times New Roman" w:cs="Times New Roman"/>
          <w:sz w:val="24"/>
          <w:szCs w:val="24"/>
          <w:lang w:val="en-US"/>
        </w:rPr>
      </w:pPr>
      <w:r w:rsidRPr="00155064">
        <w:rPr>
          <w:rFonts w:ascii="Times New Roman" w:hAnsi="Times New Roman" w:cs="Times New Roman"/>
          <w:sz w:val="24"/>
          <w:szCs w:val="24"/>
          <w:lang w:val="en-US"/>
        </w:rPr>
        <w:t>The expected return is calculated thus</w:t>
      </w:r>
      <w:r w:rsidR="009F6F7A">
        <w:rPr>
          <w:rFonts w:ascii="Times New Roman" w:hAnsi="Times New Roman" w:cs="Times New Roman"/>
          <w:sz w:val="24"/>
          <w:szCs w:val="24"/>
          <w:lang w:val="en-US"/>
        </w:rPr>
        <w:t xml:space="preserve"> as</w:t>
      </w:r>
      <w:r w:rsidRPr="00155064">
        <w:rPr>
          <w:rFonts w:ascii="Times New Roman" w:hAnsi="Times New Roman" w:cs="Times New Roman"/>
          <w:sz w:val="24"/>
          <w:szCs w:val="24"/>
          <w:lang w:val="en-US"/>
        </w:rPr>
        <w:t>:</w:t>
      </w:r>
    </w:p>
    <w:p w14:paraId="36D4EDEB" w14:textId="77777777" w:rsidR="00853DDA" w:rsidRDefault="00155064" w:rsidP="00155386">
      <w:pPr>
        <w:spacing w:line="480" w:lineRule="auto"/>
        <w:rPr>
          <w:rFonts w:ascii="Times New Roman" w:hAnsi="Times New Roman" w:cs="Times New Roman"/>
          <w:sz w:val="24"/>
          <w:szCs w:val="24"/>
          <w:lang w:val="en-US"/>
        </w:rPr>
      </w:pPr>
      <w:r w:rsidRPr="00155064">
        <w:rPr>
          <w:rFonts w:ascii="Times New Roman" w:hAnsi="Times New Roman" w:cs="Times New Roman"/>
          <w:sz w:val="24"/>
          <w:szCs w:val="24"/>
          <w:lang w:val="en-US"/>
        </w:rPr>
        <w:t>Expected return = risk free premium + Beta (expected market return - risk free premium) (Chen, 2020a).</w:t>
      </w:r>
    </w:p>
    <w:p w14:paraId="7E5EDB31" w14:textId="4B3E79D6" w:rsidR="009F6F7A" w:rsidRPr="00853DDA" w:rsidRDefault="009F6F7A" w:rsidP="00155386">
      <w:pPr>
        <w:spacing w:line="480" w:lineRule="auto"/>
        <w:rPr>
          <w:rFonts w:ascii="Times New Roman" w:hAnsi="Times New Roman" w:cs="Times New Roman"/>
          <w:sz w:val="24"/>
          <w:szCs w:val="24"/>
          <w:lang w:val="en-US"/>
        </w:rPr>
      </w:pPr>
      <w:r w:rsidRPr="009F6F7A">
        <w:rPr>
          <w:rFonts w:ascii="Times New Roman" w:hAnsi="Times New Roman" w:cs="Times New Roman"/>
          <w:b/>
          <w:bCs/>
          <w:sz w:val="24"/>
          <w:szCs w:val="24"/>
          <w:lang w:val="en-US"/>
        </w:rPr>
        <w:t xml:space="preserve">Question 3: </w:t>
      </w:r>
      <w:r w:rsidR="00155064" w:rsidRPr="00155064">
        <w:rPr>
          <w:rFonts w:ascii="Times New Roman" w:hAnsi="Times New Roman" w:cs="Times New Roman"/>
          <w:b/>
          <w:bCs/>
          <w:sz w:val="24"/>
          <w:szCs w:val="24"/>
          <w:lang w:val="en-US"/>
        </w:rPr>
        <w:t>How Investing in more than One Asset Reduces Risk Through Diversification</w:t>
      </w:r>
    </w:p>
    <w:p w14:paraId="74E2CAA8" w14:textId="77777777" w:rsidR="009F6F7A" w:rsidRDefault="00155064" w:rsidP="00155386">
      <w:pPr>
        <w:spacing w:line="480" w:lineRule="auto"/>
        <w:ind w:firstLine="720"/>
        <w:rPr>
          <w:rFonts w:ascii="Times New Roman" w:hAnsi="Times New Roman" w:cs="Times New Roman"/>
          <w:sz w:val="24"/>
          <w:szCs w:val="24"/>
          <w:lang w:val="en-US"/>
        </w:rPr>
      </w:pPr>
      <w:r w:rsidRPr="00155064">
        <w:rPr>
          <w:rFonts w:ascii="Times New Roman" w:hAnsi="Times New Roman" w:cs="Times New Roman"/>
          <w:sz w:val="24"/>
          <w:szCs w:val="24"/>
          <w:lang w:val="en-US"/>
        </w:rPr>
        <w:lastRenderedPageBreak/>
        <w:t>Diversification reduces risk by distributing investments across various financial instruments, industries, and other categories to help maximize returns by investing in different areas that would each react differently to the same event (Liodius, 2019). Securities, sectors, asset classes, countries, portfolio characteristics, and even exposure to different types of risk factors can be diversified (CFA Montreal, 2016). Therefore, in the creation of a portfolio of assets by an investor, one should add stocks that move in different directions, such that investments moving in the undesired directions can be balanced by those moving in the desired direction. This measurement of the direction in which two investments move is the covariance and a positive covariance applies to those moving in the same direction while a negative covariance means that the two investments move in opposite directions. Nonetheless, systematic risk is generally unavoidable to all investors, even in the case of diversification (Liodius, 2019). Such systematic risks can be caused by inflation rates, exchange rates, political instability, war, and interest rates, hence they are not specific to any company or industry, and cannot, therefore, be mitigated by diversification (Liodius, 2019). Conversely, diversification can reduce non-systematic risks that are unique to a certain industry or company, and can include business or financial risks (Liodius, 2019). As such, investors can limit their exposure to such risks by diversification. However, the management of a diverse portfolio can be challenging and cumbersome, and diversification can be expensive (Liodius, 2019). Also, for diversification to reduce risk and to increase compounded returns, the portfolio has to be rebalanced (CFA Montreal, 2016).</w:t>
      </w:r>
    </w:p>
    <w:p w14:paraId="62192C46" w14:textId="77777777" w:rsidR="00155386" w:rsidRDefault="00155386" w:rsidP="0015538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922B2C5" w14:textId="667CF03C" w:rsidR="00853DDA" w:rsidRDefault="00155064" w:rsidP="00155386">
      <w:pPr>
        <w:spacing w:line="480" w:lineRule="auto"/>
        <w:jc w:val="center"/>
        <w:rPr>
          <w:rFonts w:ascii="Times New Roman" w:hAnsi="Times New Roman" w:cs="Times New Roman"/>
          <w:bCs/>
          <w:sz w:val="24"/>
          <w:szCs w:val="24"/>
          <w:lang w:val="en-US"/>
        </w:rPr>
      </w:pPr>
      <w:r w:rsidRPr="00155064">
        <w:rPr>
          <w:rFonts w:ascii="Times New Roman" w:hAnsi="Times New Roman" w:cs="Times New Roman"/>
          <w:bCs/>
          <w:sz w:val="24"/>
          <w:szCs w:val="24"/>
          <w:lang w:val="en-US"/>
        </w:rPr>
        <w:lastRenderedPageBreak/>
        <w:t>References</w:t>
      </w:r>
    </w:p>
    <w:p w14:paraId="07D0022B" w14:textId="77777777" w:rsidR="00853DDA" w:rsidRDefault="00853DDA" w:rsidP="00155386">
      <w:pPr>
        <w:spacing w:line="480" w:lineRule="auto"/>
        <w:ind w:left="720" w:hanging="720"/>
        <w:rPr>
          <w:rFonts w:ascii="Times New Roman" w:hAnsi="Times New Roman" w:cs="Times New Roman"/>
          <w:sz w:val="24"/>
          <w:szCs w:val="24"/>
          <w:lang w:val="en-US"/>
        </w:rPr>
      </w:pPr>
      <w:r w:rsidRPr="00155064">
        <w:rPr>
          <w:rFonts w:ascii="Times New Roman" w:hAnsi="Times New Roman" w:cs="Times New Roman"/>
          <w:sz w:val="24"/>
          <w:szCs w:val="24"/>
          <w:lang w:val="en-US"/>
        </w:rPr>
        <w:t>CFA Montreal. (2016). The Benefits of Diversification.</w:t>
      </w:r>
      <w:r>
        <w:rPr>
          <w:rFonts w:ascii="Times New Roman" w:hAnsi="Times New Roman" w:cs="Times New Roman"/>
          <w:sz w:val="24"/>
          <w:szCs w:val="24"/>
          <w:lang w:val="en-US"/>
        </w:rPr>
        <w:t xml:space="preserve"> Retrieved from </w:t>
      </w:r>
      <w:hyperlink r:id="rId7" w:history="1">
        <w:r w:rsidRPr="00155064">
          <w:rPr>
            <w:rStyle w:val="Hyperlink"/>
            <w:rFonts w:ascii="Times New Roman" w:hAnsi="Times New Roman" w:cs="Times New Roman"/>
            <w:sz w:val="24"/>
            <w:szCs w:val="24"/>
            <w:lang w:val="en-US"/>
          </w:rPr>
          <w:t>https://www.cfamontreal.org/static/uploaded/Files/bloc-pdf/documents/en/CFA_ProSheet_3A.pdf</w:t>
        </w:r>
      </w:hyperlink>
    </w:p>
    <w:p w14:paraId="51EFDC79" w14:textId="77777777" w:rsidR="00853DDA" w:rsidRPr="00853DDA" w:rsidRDefault="00853DDA" w:rsidP="00155386">
      <w:pPr>
        <w:spacing w:line="480" w:lineRule="auto"/>
        <w:ind w:left="720" w:hanging="720"/>
        <w:rPr>
          <w:rFonts w:ascii="Times New Roman" w:hAnsi="Times New Roman" w:cs="Times New Roman"/>
          <w:bCs/>
          <w:sz w:val="24"/>
          <w:szCs w:val="24"/>
          <w:lang w:val="en-US"/>
        </w:rPr>
      </w:pPr>
      <w:r w:rsidRPr="00853DDA">
        <w:rPr>
          <w:rFonts w:ascii="Times New Roman" w:hAnsi="Times New Roman" w:cs="Times New Roman"/>
          <w:bCs/>
          <w:sz w:val="24"/>
          <w:szCs w:val="24"/>
          <w:lang w:val="en-US"/>
        </w:rPr>
        <w:t xml:space="preserve">Chen, J. (2020a). Expected Return. </w:t>
      </w:r>
      <w:r w:rsidRPr="00853DDA">
        <w:rPr>
          <w:rFonts w:ascii="Times New Roman" w:hAnsi="Times New Roman" w:cs="Times New Roman"/>
          <w:bCs/>
          <w:i/>
          <w:sz w:val="24"/>
          <w:szCs w:val="24"/>
          <w:lang w:val="en-US"/>
        </w:rPr>
        <w:t>Investopedia.</w:t>
      </w:r>
      <w:r w:rsidRPr="00853DDA">
        <w:rPr>
          <w:rFonts w:ascii="Times New Roman" w:hAnsi="Times New Roman" w:cs="Times New Roman"/>
          <w:bCs/>
          <w:sz w:val="24"/>
          <w:szCs w:val="24"/>
          <w:lang w:val="en-US"/>
        </w:rPr>
        <w:t xml:space="preserve"> Retrieved from </w:t>
      </w:r>
      <w:hyperlink r:id="rId8" w:history="1">
        <w:r w:rsidRPr="00853DDA">
          <w:rPr>
            <w:rStyle w:val="Hyperlink"/>
            <w:rFonts w:ascii="Times New Roman" w:hAnsi="Times New Roman" w:cs="Times New Roman"/>
            <w:bCs/>
            <w:sz w:val="24"/>
            <w:szCs w:val="24"/>
            <w:lang w:val="en-US"/>
          </w:rPr>
          <w:t>https://www.investopedia.com/terms/e/expectedreturn.asp#:~:text=The%20expected%20return%20is%20the,rates%20of%20return%20(RoR).&amp;text=For%20example%2C%20if%20an%20investment,%2D10%25%20%3D%205%25)</w:t>
        </w:r>
      </w:hyperlink>
    </w:p>
    <w:p w14:paraId="79E9F847" w14:textId="77777777" w:rsidR="00853DDA" w:rsidRDefault="00853DDA" w:rsidP="00155386">
      <w:pPr>
        <w:spacing w:line="480" w:lineRule="auto"/>
        <w:ind w:left="720" w:hanging="720"/>
        <w:rPr>
          <w:rFonts w:ascii="Times New Roman" w:hAnsi="Times New Roman" w:cs="Times New Roman"/>
          <w:bCs/>
          <w:sz w:val="24"/>
          <w:szCs w:val="24"/>
          <w:lang w:val="en-US"/>
        </w:rPr>
      </w:pPr>
      <w:r w:rsidRPr="00853DDA">
        <w:rPr>
          <w:rFonts w:ascii="Times New Roman" w:hAnsi="Times New Roman" w:cs="Times New Roman"/>
          <w:bCs/>
          <w:sz w:val="24"/>
          <w:szCs w:val="24"/>
          <w:lang w:val="en-US"/>
        </w:rPr>
        <w:t xml:space="preserve">Chen, J. (2020b). Holding Period Return/Yield. </w:t>
      </w:r>
      <w:r w:rsidRPr="00853DDA">
        <w:rPr>
          <w:rFonts w:ascii="Times New Roman" w:hAnsi="Times New Roman" w:cs="Times New Roman"/>
          <w:bCs/>
          <w:i/>
          <w:sz w:val="24"/>
          <w:szCs w:val="24"/>
          <w:lang w:val="en-US"/>
        </w:rPr>
        <w:t xml:space="preserve">Investopedia. </w:t>
      </w:r>
      <w:r w:rsidRPr="00853DDA">
        <w:rPr>
          <w:rFonts w:ascii="Times New Roman" w:hAnsi="Times New Roman" w:cs="Times New Roman"/>
          <w:bCs/>
          <w:sz w:val="24"/>
          <w:szCs w:val="24"/>
          <w:lang w:val="en-US"/>
        </w:rPr>
        <w:t xml:space="preserve">Retrieved from </w:t>
      </w:r>
      <w:hyperlink r:id="rId9" w:history="1">
        <w:r w:rsidRPr="00853DDA">
          <w:rPr>
            <w:rStyle w:val="Hyperlink"/>
            <w:rFonts w:ascii="Times New Roman" w:hAnsi="Times New Roman" w:cs="Times New Roman"/>
            <w:bCs/>
            <w:sz w:val="24"/>
            <w:szCs w:val="24"/>
            <w:lang w:val="en-US"/>
          </w:rPr>
          <w:t>https://www.investopedia.com/terms/h/holdingperiodreturn-yield.asp#:~:text=Holding%20period%20return%20is%20the,income%20plus%20changes%20in%20value</w:t>
        </w:r>
      </w:hyperlink>
    </w:p>
    <w:p w14:paraId="1FE6B255" w14:textId="77777777" w:rsidR="00853DDA" w:rsidRPr="00853DDA" w:rsidRDefault="00853DDA" w:rsidP="00155386">
      <w:pPr>
        <w:spacing w:line="480" w:lineRule="auto"/>
        <w:ind w:left="720" w:hanging="720"/>
        <w:rPr>
          <w:rFonts w:ascii="Times New Roman" w:hAnsi="Times New Roman" w:cs="Times New Roman"/>
          <w:bCs/>
          <w:sz w:val="24"/>
          <w:szCs w:val="24"/>
          <w:lang w:val="en-US"/>
        </w:rPr>
      </w:pPr>
      <w:r w:rsidRPr="00853DDA">
        <w:rPr>
          <w:rFonts w:ascii="Times New Roman" w:hAnsi="Times New Roman" w:cs="Times New Roman"/>
          <w:bCs/>
          <w:sz w:val="24"/>
          <w:szCs w:val="24"/>
          <w:lang w:val="en-US"/>
        </w:rPr>
        <w:t xml:space="preserve">Corporate Finance Institute. (2021). Required Rate of Return. </w:t>
      </w:r>
      <w:r w:rsidRPr="00853DDA">
        <w:rPr>
          <w:rFonts w:ascii="Times New Roman" w:hAnsi="Times New Roman" w:cs="Times New Roman"/>
          <w:bCs/>
          <w:i/>
          <w:sz w:val="24"/>
          <w:szCs w:val="24"/>
          <w:lang w:val="en-US"/>
        </w:rPr>
        <w:t xml:space="preserve">CFI. </w:t>
      </w:r>
      <w:r w:rsidRPr="00853DDA">
        <w:rPr>
          <w:rFonts w:ascii="Times New Roman" w:hAnsi="Times New Roman" w:cs="Times New Roman"/>
          <w:bCs/>
          <w:sz w:val="24"/>
          <w:szCs w:val="24"/>
          <w:lang w:val="en-US"/>
        </w:rPr>
        <w:t xml:space="preserve">Retrieved from </w:t>
      </w:r>
      <w:hyperlink r:id="rId10" w:history="1">
        <w:r w:rsidRPr="00853DDA">
          <w:rPr>
            <w:rStyle w:val="Hyperlink"/>
            <w:rFonts w:ascii="Times New Roman" w:hAnsi="Times New Roman" w:cs="Times New Roman"/>
            <w:bCs/>
            <w:sz w:val="24"/>
            <w:szCs w:val="24"/>
            <w:lang w:val="en-US"/>
          </w:rPr>
          <w:t>https://corporatefinanceinstitute.com/resources/knowledge/trading-investing/required-rate-of-return/</w:t>
        </w:r>
      </w:hyperlink>
    </w:p>
    <w:p w14:paraId="70542824" w14:textId="77777777" w:rsidR="00853DDA" w:rsidRDefault="00853DDA" w:rsidP="00155386">
      <w:pPr>
        <w:spacing w:line="480" w:lineRule="auto"/>
        <w:ind w:left="720" w:hanging="720"/>
        <w:rPr>
          <w:rFonts w:ascii="Times New Roman" w:hAnsi="Times New Roman" w:cs="Times New Roman"/>
          <w:bCs/>
          <w:sz w:val="24"/>
          <w:szCs w:val="24"/>
          <w:lang w:val="en-US"/>
        </w:rPr>
      </w:pPr>
      <w:r w:rsidRPr="00853DDA">
        <w:rPr>
          <w:rFonts w:ascii="Times New Roman" w:hAnsi="Times New Roman" w:cs="Times New Roman"/>
          <w:bCs/>
          <w:sz w:val="24"/>
          <w:szCs w:val="24"/>
          <w:lang w:val="en-US"/>
        </w:rPr>
        <w:t xml:space="preserve">Levinson, C. (2019). Differences between an Expected Rate of Return &amp; a Required Rate of Return. </w:t>
      </w:r>
      <w:r w:rsidRPr="00853DDA">
        <w:rPr>
          <w:rFonts w:ascii="Times New Roman" w:hAnsi="Times New Roman" w:cs="Times New Roman"/>
          <w:bCs/>
          <w:i/>
          <w:sz w:val="24"/>
          <w:szCs w:val="24"/>
          <w:lang w:val="en-US"/>
        </w:rPr>
        <w:t>The Nest</w:t>
      </w:r>
      <w:r w:rsidRPr="00853DDA">
        <w:rPr>
          <w:rFonts w:ascii="Times New Roman" w:hAnsi="Times New Roman" w:cs="Times New Roman"/>
          <w:bCs/>
          <w:sz w:val="24"/>
          <w:szCs w:val="24"/>
          <w:lang w:val="en-US"/>
        </w:rPr>
        <w:t xml:space="preserve">. Retrieved from </w:t>
      </w:r>
      <w:hyperlink r:id="rId11" w:history="1">
        <w:r w:rsidRPr="00853DDA">
          <w:rPr>
            <w:rStyle w:val="Hyperlink"/>
            <w:rFonts w:ascii="Times New Roman" w:hAnsi="Times New Roman" w:cs="Times New Roman"/>
            <w:bCs/>
            <w:sz w:val="24"/>
            <w:szCs w:val="24"/>
            <w:lang w:val="en-US"/>
          </w:rPr>
          <w:t>https://budgeting.thenest.com/differences-between-expected-rate-return-required-rate-return-23874.html</w:t>
        </w:r>
      </w:hyperlink>
    </w:p>
    <w:p w14:paraId="6794CEEF" w14:textId="77777777" w:rsidR="00853DDA" w:rsidRPr="00155064" w:rsidRDefault="00853DDA" w:rsidP="00155386">
      <w:pPr>
        <w:spacing w:line="480" w:lineRule="auto"/>
        <w:ind w:left="720" w:hanging="720"/>
        <w:rPr>
          <w:rFonts w:ascii="Times New Roman" w:hAnsi="Times New Roman" w:cs="Times New Roman"/>
          <w:sz w:val="24"/>
          <w:szCs w:val="24"/>
          <w:lang w:val="en-US"/>
        </w:rPr>
      </w:pPr>
      <w:r w:rsidRPr="00155064">
        <w:rPr>
          <w:rFonts w:ascii="Times New Roman" w:hAnsi="Times New Roman" w:cs="Times New Roman"/>
          <w:sz w:val="24"/>
          <w:szCs w:val="24"/>
          <w:lang w:val="en-US"/>
        </w:rPr>
        <w:t xml:space="preserve">Liodius, N. (2019). The Importance of Diversification. </w:t>
      </w:r>
      <w:r w:rsidRPr="00155064">
        <w:rPr>
          <w:rFonts w:ascii="Times New Roman" w:hAnsi="Times New Roman" w:cs="Times New Roman"/>
          <w:i/>
          <w:sz w:val="24"/>
          <w:szCs w:val="24"/>
          <w:lang w:val="en-US"/>
        </w:rPr>
        <w:t xml:space="preserve">Investopedia. </w:t>
      </w:r>
      <w:r w:rsidRPr="00155064">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12" w:history="1">
        <w:r w:rsidRPr="00B7431C">
          <w:rPr>
            <w:rStyle w:val="Hyperlink"/>
            <w:rFonts w:ascii="Times New Roman" w:hAnsi="Times New Roman" w:cs="Times New Roman"/>
            <w:sz w:val="24"/>
            <w:szCs w:val="24"/>
            <w:lang w:val="en-US"/>
          </w:rPr>
          <w:t>https://www.investopedia.com/investing/importance-diversification/#:~:text=Diversification%20is%20a%20technique%20that,differently%20to%20the%20same%20event</w:t>
        </w:r>
      </w:hyperlink>
    </w:p>
    <w:sectPr w:rsidR="00853DDA" w:rsidRPr="00155064" w:rsidSect="00155064">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6E373" w14:textId="77777777" w:rsidR="00CF1363" w:rsidRDefault="00CF1363" w:rsidP="00155064">
      <w:pPr>
        <w:spacing w:after="0" w:line="240" w:lineRule="auto"/>
      </w:pPr>
      <w:r>
        <w:separator/>
      </w:r>
    </w:p>
  </w:endnote>
  <w:endnote w:type="continuationSeparator" w:id="0">
    <w:p w14:paraId="3CF6ED1F" w14:textId="77777777" w:rsidR="00CF1363" w:rsidRDefault="00CF1363" w:rsidP="00155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0EF8C8" w14:textId="77777777" w:rsidR="00CF1363" w:rsidRDefault="00CF1363" w:rsidP="00155064">
      <w:pPr>
        <w:spacing w:after="0" w:line="240" w:lineRule="auto"/>
      </w:pPr>
      <w:r>
        <w:separator/>
      </w:r>
    </w:p>
  </w:footnote>
  <w:footnote w:type="continuationSeparator" w:id="0">
    <w:p w14:paraId="42703C54" w14:textId="77777777" w:rsidR="00CF1363" w:rsidRDefault="00CF1363" w:rsidP="00155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853766466"/>
      <w:docPartObj>
        <w:docPartGallery w:val="Page Numbers (Top of Page)"/>
        <w:docPartUnique/>
      </w:docPartObj>
    </w:sdtPr>
    <w:sdtEndPr>
      <w:rPr>
        <w:noProof/>
      </w:rPr>
    </w:sdtEndPr>
    <w:sdtContent>
      <w:p w14:paraId="10093AE6" w14:textId="3F201654" w:rsidR="00155064" w:rsidRPr="00155064" w:rsidRDefault="00155064" w:rsidP="00155064">
        <w:pPr>
          <w:pStyle w:val="Header"/>
          <w:jc w:val="right"/>
          <w:rPr>
            <w:rFonts w:ascii="Times New Roman" w:hAnsi="Times New Roman" w:cs="Times New Roman"/>
            <w:sz w:val="20"/>
            <w:szCs w:val="20"/>
          </w:rPr>
        </w:pPr>
        <w:r w:rsidRPr="00155064">
          <w:rPr>
            <w:rFonts w:ascii="Times New Roman" w:hAnsi="Times New Roman" w:cs="Times New Roman"/>
            <w:bCs/>
            <w:sz w:val="20"/>
            <w:szCs w:val="20"/>
            <w:lang w:val="en-US"/>
          </w:rPr>
          <w:t>SESSION 5 DISCUSSION: DIFFERENT TYPES OF RETURNS AND DIVERSIFICATION OF RISK</w:t>
        </w:r>
        <w:r>
          <w:rPr>
            <w:rFonts w:ascii="Times New Roman" w:hAnsi="Times New Roman" w:cs="Times New Roman"/>
            <w:sz w:val="20"/>
            <w:szCs w:val="20"/>
          </w:rPr>
          <w:tab/>
        </w:r>
        <w:r w:rsidRPr="00155064">
          <w:rPr>
            <w:rFonts w:ascii="Times New Roman" w:hAnsi="Times New Roman" w:cs="Times New Roman"/>
            <w:sz w:val="20"/>
            <w:szCs w:val="20"/>
          </w:rPr>
          <w:fldChar w:fldCharType="begin"/>
        </w:r>
        <w:r w:rsidRPr="00155064">
          <w:rPr>
            <w:rFonts w:ascii="Times New Roman" w:hAnsi="Times New Roman" w:cs="Times New Roman"/>
            <w:sz w:val="20"/>
            <w:szCs w:val="20"/>
          </w:rPr>
          <w:instrText xml:space="preserve"> PAGE   \* MERGEFORMAT </w:instrText>
        </w:r>
        <w:r w:rsidRPr="00155064">
          <w:rPr>
            <w:rFonts w:ascii="Times New Roman" w:hAnsi="Times New Roman" w:cs="Times New Roman"/>
            <w:sz w:val="20"/>
            <w:szCs w:val="20"/>
          </w:rPr>
          <w:fldChar w:fldCharType="separate"/>
        </w:r>
        <w:r w:rsidRPr="00155064">
          <w:rPr>
            <w:rFonts w:ascii="Times New Roman" w:hAnsi="Times New Roman" w:cs="Times New Roman"/>
            <w:noProof/>
            <w:sz w:val="20"/>
            <w:szCs w:val="20"/>
          </w:rPr>
          <w:t>2</w:t>
        </w:r>
        <w:r w:rsidRPr="00155064">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9043886"/>
      <w:docPartObj>
        <w:docPartGallery w:val="Page Numbers (Top of Page)"/>
        <w:docPartUnique/>
      </w:docPartObj>
    </w:sdtPr>
    <w:sdtEndPr>
      <w:rPr>
        <w:noProof/>
      </w:rPr>
    </w:sdtEndPr>
    <w:sdtContent>
      <w:p w14:paraId="6CD4201F" w14:textId="650ABE27" w:rsidR="00155064" w:rsidRPr="00155064" w:rsidRDefault="00155064" w:rsidP="00155064">
        <w:pPr>
          <w:pStyle w:val="Header"/>
          <w:jc w:val="right"/>
          <w:rPr>
            <w:rFonts w:ascii="Times New Roman" w:hAnsi="Times New Roman" w:cs="Times New Roman"/>
            <w:sz w:val="18"/>
            <w:szCs w:val="18"/>
          </w:rPr>
        </w:pPr>
        <w:r w:rsidRPr="00155064">
          <w:rPr>
            <w:rFonts w:ascii="Times New Roman" w:hAnsi="Times New Roman" w:cs="Times New Roman"/>
            <w:sz w:val="18"/>
            <w:szCs w:val="18"/>
            <w:lang w:val="en-US"/>
          </w:rPr>
          <w:t xml:space="preserve">Running head: </w:t>
        </w:r>
        <w:r w:rsidRPr="00155064">
          <w:rPr>
            <w:rFonts w:ascii="Times New Roman" w:hAnsi="Times New Roman" w:cs="Times New Roman"/>
            <w:bCs/>
            <w:sz w:val="18"/>
            <w:szCs w:val="18"/>
            <w:lang w:val="en-US"/>
          </w:rPr>
          <w:t>SESSION 5 DISCUSSION: DIFFERENT TYPES OF RETURNS AND DIVERSIFICATION OF RISK</w:t>
        </w:r>
        <w:r>
          <w:rPr>
            <w:rFonts w:ascii="Times New Roman" w:hAnsi="Times New Roman" w:cs="Times New Roman"/>
            <w:sz w:val="18"/>
            <w:szCs w:val="18"/>
          </w:rPr>
          <w:tab/>
        </w:r>
        <w:r w:rsidRPr="00155064">
          <w:rPr>
            <w:rFonts w:ascii="Times New Roman" w:hAnsi="Times New Roman" w:cs="Times New Roman"/>
            <w:sz w:val="18"/>
            <w:szCs w:val="18"/>
          </w:rPr>
          <w:fldChar w:fldCharType="begin"/>
        </w:r>
        <w:r w:rsidRPr="00155064">
          <w:rPr>
            <w:rFonts w:ascii="Times New Roman" w:hAnsi="Times New Roman" w:cs="Times New Roman"/>
            <w:sz w:val="18"/>
            <w:szCs w:val="18"/>
          </w:rPr>
          <w:instrText xml:space="preserve"> PAGE   \* MERGEFORMAT </w:instrText>
        </w:r>
        <w:r w:rsidRPr="00155064">
          <w:rPr>
            <w:rFonts w:ascii="Times New Roman" w:hAnsi="Times New Roman" w:cs="Times New Roman"/>
            <w:sz w:val="18"/>
            <w:szCs w:val="18"/>
          </w:rPr>
          <w:fldChar w:fldCharType="separate"/>
        </w:r>
        <w:r w:rsidRPr="00155064">
          <w:rPr>
            <w:rFonts w:ascii="Times New Roman" w:hAnsi="Times New Roman" w:cs="Times New Roman"/>
            <w:noProof/>
            <w:sz w:val="18"/>
            <w:szCs w:val="18"/>
          </w:rPr>
          <w:t>2</w:t>
        </w:r>
        <w:r w:rsidRPr="00155064">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E21557"/>
    <w:multiLevelType w:val="hybridMultilevel"/>
    <w:tmpl w:val="0890F9E0"/>
    <w:lvl w:ilvl="0" w:tplc="7A80FB6A">
      <w:start w:val="1"/>
      <w:numFmt w:val="decimal"/>
      <w:lvlText w:val="%1."/>
      <w:lvlJc w:val="left"/>
      <w:pPr>
        <w:ind w:left="720" w:hanging="360"/>
      </w:pPr>
      <w:rPr>
        <w:rFonts w:hint="default"/>
      </w:rPr>
    </w:lvl>
    <w:lvl w:ilvl="1" w:tplc="B438663A" w:tentative="1">
      <w:start w:val="1"/>
      <w:numFmt w:val="lowerLetter"/>
      <w:lvlText w:val="%2."/>
      <w:lvlJc w:val="left"/>
      <w:pPr>
        <w:ind w:left="1440" w:hanging="360"/>
      </w:pPr>
    </w:lvl>
    <w:lvl w:ilvl="2" w:tplc="37A29E00" w:tentative="1">
      <w:start w:val="1"/>
      <w:numFmt w:val="lowerRoman"/>
      <w:lvlText w:val="%3."/>
      <w:lvlJc w:val="right"/>
      <w:pPr>
        <w:ind w:left="2160" w:hanging="180"/>
      </w:pPr>
    </w:lvl>
    <w:lvl w:ilvl="3" w:tplc="DC84756A" w:tentative="1">
      <w:start w:val="1"/>
      <w:numFmt w:val="decimal"/>
      <w:lvlText w:val="%4."/>
      <w:lvlJc w:val="left"/>
      <w:pPr>
        <w:ind w:left="2880" w:hanging="360"/>
      </w:pPr>
    </w:lvl>
    <w:lvl w:ilvl="4" w:tplc="C19C1FDA" w:tentative="1">
      <w:start w:val="1"/>
      <w:numFmt w:val="lowerLetter"/>
      <w:lvlText w:val="%5."/>
      <w:lvlJc w:val="left"/>
      <w:pPr>
        <w:ind w:left="3600" w:hanging="360"/>
      </w:pPr>
    </w:lvl>
    <w:lvl w:ilvl="5" w:tplc="51361F14" w:tentative="1">
      <w:start w:val="1"/>
      <w:numFmt w:val="lowerRoman"/>
      <w:lvlText w:val="%6."/>
      <w:lvlJc w:val="right"/>
      <w:pPr>
        <w:ind w:left="4320" w:hanging="180"/>
      </w:pPr>
    </w:lvl>
    <w:lvl w:ilvl="6" w:tplc="BA328918" w:tentative="1">
      <w:start w:val="1"/>
      <w:numFmt w:val="decimal"/>
      <w:lvlText w:val="%7."/>
      <w:lvlJc w:val="left"/>
      <w:pPr>
        <w:ind w:left="5040" w:hanging="360"/>
      </w:pPr>
    </w:lvl>
    <w:lvl w:ilvl="7" w:tplc="D6C86502" w:tentative="1">
      <w:start w:val="1"/>
      <w:numFmt w:val="lowerLetter"/>
      <w:lvlText w:val="%8."/>
      <w:lvlJc w:val="left"/>
      <w:pPr>
        <w:ind w:left="5760" w:hanging="360"/>
      </w:pPr>
    </w:lvl>
    <w:lvl w:ilvl="8" w:tplc="8C30B51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0NzU3MwCSRgaGZko6SsGpxcWZ+XkgBYa1AGDyR7csAAAA"/>
  </w:docVars>
  <w:rsids>
    <w:rsidRoot w:val="00155064"/>
    <w:rsid w:val="00155064"/>
    <w:rsid w:val="00155386"/>
    <w:rsid w:val="00853DDA"/>
    <w:rsid w:val="009F6F7A"/>
    <w:rsid w:val="00B74D25"/>
    <w:rsid w:val="00BB03C2"/>
    <w:rsid w:val="00CF1363"/>
    <w:rsid w:val="00F86E8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EECA"/>
  <w15:chartTrackingRefBased/>
  <w15:docId w15:val="{91B70350-94FE-4A14-879C-582CF7EF1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5064"/>
    <w:rPr>
      <w:color w:val="0563C1" w:themeColor="hyperlink"/>
      <w:u w:val="single"/>
    </w:rPr>
  </w:style>
  <w:style w:type="character" w:styleId="UnresolvedMention">
    <w:name w:val="Unresolved Mention"/>
    <w:basedOn w:val="DefaultParagraphFont"/>
    <w:uiPriority w:val="99"/>
    <w:semiHidden/>
    <w:unhideWhenUsed/>
    <w:rsid w:val="00155064"/>
    <w:rPr>
      <w:color w:val="605E5C"/>
      <w:shd w:val="clear" w:color="auto" w:fill="E1DFDD"/>
    </w:rPr>
  </w:style>
  <w:style w:type="paragraph" w:styleId="Header">
    <w:name w:val="header"/>
    <w:basedOn w:val="Normal"/>
    <w:link w:val="HeaderChar"/>
    <w:uiPriority w:val="99"/>
    <w:unhideWhenUsed/>
    <w:rsid w:val="00155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064"/>
  </w:style>
  <w:style w:type="paragraph" w:styleId="Footer">
    <w:name w:val="footer"/>
    <w:basedOn w:val="Normal"/>
    <w:link w:val="FooterChar"/>
    <w:uiPriority w:val="99"/>
    <w:unhideWhenUsed/>
    <w:rsid w:val="00155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e/expectedreturn.asp#:~:text=The%20expected%20return%20is%20the,rates%20of%20return%20(RoR).&amp;text=For%20example%2C%20if%20an%20investment,%2D10%25%20%3D%205%2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famontreal.org/static/uploaded/Files/bloc-pdf/documents/en/CFA_ProSheet_3A.pdf" TargetMode="External"/><Relationship Id="rId12" Type="http://schemas.openxmlformats.org/officeDocument/2006/relationships/hyperlink" Target="https://www.investopedia.com/investing/importance-diversification/#:~:text=Diversification%20is%20a%20technique%20that,differently%20to%20the%20same%20eve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dgeting.thenest.com/differences-between-expected-rate-return-required-rate-return-23874.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rporatefinanceinstitute.com/resources/knowledge/trading-investing/required-rate-of-return/" TargetMode="External"/><Relationship Id="rId4" Type="http://schemas.openxmlformats.org/officeDocument/2006/relationships/webSettings" Target="webSettings.xml"/><Relationship Id="rId9" Type="http://schemas.openxmlformats.org/officeDocument/2006/relationships/hyperlink" Target="https://www.investopedia.com/terms/h/holdingperiodreturn-yield.asp#:~:text=Holding%20period%20return%20is%20the,income%20plus%20changes%20in%20valu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2021-01-24T15:29:00Z</dcterms:created>
  <dcterms:modified xsi:type="dcterms:W3CDTF">2021-01-24T15:50:00Z</dcterms:modified>
</cp:coreProperties>
</file>